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0F4" w:rsidRDefault="002750F4" w:rsidP="008C5FE7">
      <w:pPr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en-AU"/>
        </w:rPr>
        <w:drawing>
          <wp:anchor distT="0" distB="0" distL="114300" distR="114300" simplePos="0" relativeHeight="251658240" behindDoc="1" locked="0" layoutInCell="1" allowOverlap="1" wp14:anchorId="430E0CF3" wp14:editId="0D13AAE0">
            <wp:simplePos x="0" y="0"/>
            <wp:positionH relativeFrom="column">
              <wp:posOffset>5219700</wp:posOffset>
            </wp:positionH>
            <wp:positionV relativeFrom="paragraph">
              <wp:posOffset>-175260</wp:posOffset>
            </wp:positionV>
            <wp:extent cx="934085" cy="1234440"/>
            <wp:effectExtent l="0" t="0" r="0" b="3810"/>
            <wp:wrapTight wrapText="bothSides">
              <wp:wrapPolygon edited="0">
                <wp:start x="0" y="0"/>
                <wp:lineTo x="0" y="21333"/>
                <wp:lineTo x="21145" y="21333"/>
                <wp:lineTo x="21145" y="0"/>
                <wp:lineTo x="0" y="0"/>
              </wp:wrapPolygon>
            </wp:wrapTight>
            <wp:docPr id="1" name="Picture 1" descr="CA logo with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 logo with tex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0F4" w:rsidRDefault="002750F4" w:rsidP="008C5FE7">
      <w:pPr>
        <w:rPr>
          <w:b/>
          <w:sz w:val="22"/>
          <w:szCs w:val="22"/>
        </w:rPr>
      </w:pPr>
    </w:p>
    <w:p w:rsidR="002750F4" w:rsidRDefault="002750F4" w:rsidP="008C5FE7">
      <w:pPr>
        <w:rPr>
          <w:b/>
          <w:sz w:val="22"/>
          <w:szCs w:val="22"/>
        </w:rPr>
      </w:pPr>
    </w:p>
    <w:p w:rsidR="002750F4" w:rsidRDefault="002750F4" w:rsidP="008C5FE7">
      <w:pPr>
        <w:rPr>
          <w:b/>
          <w:sz w:val="22"/>
          <w:szCs w:val="22"/>
        </w:rPr>
      </w:pPr>
    </w:p>
    <w:p w:rsidR="00891FA1" w:rsidRPr="002750F4" w:rsidRDefault="008C5FE7" w:rsidP="002750F4">
      <w:pPr>
        <w:jc w:val="center"/>
        <w:rPr>
          <w:b/>
          <w:sz w:val="24"/>
          <w:szCs w:val="24"/>
        </w:rPr>
      </w:pPr>
      <w:r w:rsidRPr="002750F4">
        <w:rPr>
          <w:b/>
          <w:sz w:val="24"/>
          <w:szCs w:val="24"/>
        </w:rPr>
        <w:t>COMMUNICATIONS ALLIANCE</w:t>
      </w:r>
      <w:r w:rsidRPr="002750F4">
        <w:rPr>
          <w:b/>
          <w:sz w:val="24"/>
          <w:szCs w:val="24"/>
        </w:rPr>
        <w:br/>
        <w:t>COMMUNICATIONS SECURITY REFERENCE PANEL</w:t>
      </w:r>
    </w:p>
    <w:p w:rsidR="008C5FE7" w:rsidRDefault="008C5FE7" w:rsidP="002750F4">
      <w:pPr>
        <w:jc w:val="center"/>
        <w:rPr>
          <w:b/>
          <w:sz w:val="24"/>
          <w:szCs w:val="24"/>
        </w:rPr>
      </w:pPr>
      <w:r w:rsidRPr="002750F4">
        <w:rPr>
          <w:b/>
          <w:sz w:val="24"/>
          <w:szCs w:val="24"/>
        </w:rPr>
        <w:t>TERMS OF REFERENCE</w:t>
      </w:r>
    </w:p>
    <w:p w:rsidR="002750F4" w:rsidRPr="002750F4" w:rsidRDefault="002750F4" w:rsidP="002750F4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64496E" w:rsidRPr="00746306" w:rsidRDefault="008C5FE7" w:rsidP="0064496E">
      <w:pPr>
        <w:pStyle w:val="ListParagraph"/>
        <w:numPr>
          <w:ilvl w:val="0"/>
          <w:numId w:val="1"/>
        </w:numPr>
        <w:ind w:left="426" w:hanging="426"/>
        <w:rPr>
          <w:b/>
          <w:sz w:val="22"/>
          <w:szCs w:val="22"/>
        </w:rPr>
      </w:pPr>
      <w:r>
        <w:rPr>
          <w:b/>
          <w:sz w:val="22"/>
          <w:szCs w:val="22"/>
        </w:rPr>
        <w:t>Description</w:t>
      </w:r>
    </w:p>
    <w:p w:rsidR="0064496E" w:rsidRPr="007B73DF" w:rsidRDefault="008C5FE7" w:rsidP="0064496E">
      <w:pPr>
        <w:ind w:left="426"/>
      </w:pPr>
      <w:r>
        <w:rPr>
          <w:rFonts w:cs="Century Gothic"/>
        </w:rPr>
        <w:t xml:space="preserve">The Communications Alliance </w:t>
      </w:r>
      <w:r w:rsidRPr="008C5FE7">
        <w:rPr>
          <w:rFonts w:cs="Century Gothic"/>
          <w:b/>
        </w:rPr>
        <w:t>Communications Security Reference Panel</w:t>
      </w:r>
      <w:r>
        <w:rPr>
          <w:rFonts w:cs="Century Gothic"/>
        </w:rPr>
        <w:t xml:space="preserve"> (CSRP) will assume responsibility for security-related matters that impact Australian telecommunications providers. The CSRP will be a standing advisory body comprised of industry subject matter experts, with a remit to oversee and coordinate industry security initiatives, both current and prospective, that are facilitated by Communications Alliance.</w:t>
      </w:r>
      <w:r w:rsidRPr="008C5FE7">
        <w:rPr>
          <w:rFonts w:eastAsia="MS Mincho" w:cs="Century Gothic"/>
          <w:lang w:val="en-US"/>
        </w:rPr>
        <w:t xml:space="preserve"> </w:t>
      </w:r>
      <w:r>
        <w:rPr>
          <w:rFonts w:eastAsia="MS Mincho" w:cs="Century Gothic"/>
          <w:lang w:val="en-US"/>
        </w:rPr>
        <w:t>The CSRP will also carry on the work initiated through the creation by the IIA in 2013 of the National Online Security Council (NOSC).</w:t>
      </w:r>
    </w:p>
    <w:p w:rsidR="00A85626" w:rsidRPr="007B73DF" w:rsidRDefault="008C5FE7" w:rsidP="0064496E">
      <w:pPr>
        <w:ind w:left="426"/>
      </w:pPr>
      <w:r>
        <w:t>The C</w:t>
      </w:r>
      <w:r w:rsidR="00A85626" w:rsidRPr="007B73DF">
        <w:t>SRP w</w:t>
      </w:r>
      <w:r>
        <w:t xml:space="preserve">ill </w:t>
      </w:r>
      <w:r w:rsidR="00A85626" w:rsidRPr="007B73DF">
        <w:t>stand alongside the four existing Comms Alliance Reference Panels, which are responsible for:</w:t>
      </w:r>
    </w:p>
    <w:p w:rsidR="00A85626" w:rsidRPr="007B73DF" w:rsidRDefault="00A85626" w:rsidP="00A85626">
      <w:pPr>
        <w:pStyle w:val="ListParagraph"/>
        <w:numPr>
          <w:ilvl w:val="0"/>
          <w:numId w:val="8"/>
        </w:numPr>
      </w:pPr>
      <w:r w:rsidRPr="007B73DF">
        <w:t>Consumer Issues</w:t>
      </w:r>
    </w:p>
    <w:p w:rsidR="00A85626" w:rsidRPr="007B73DF" w:rsidRDefault="00A85626" w:rsidP="00A85626">
      <w:pPr>
        <w:pStyle w:val="ListParagraph"/>
        <w:numPr>
          <w:ilvl w:val="0"/>
          <w:numId w:val="8"/>
        </w:numPr>
      </w:pPr>
      <w:r w:rsidRPr="007B73DF">
        <w:t>Operational Issues</w:t>
      </w:r>
    </w:p>
    <w:p w:rsidR="00A85626" w:rsidRPr="007B73DF" w:rsidRDefault="00A85626" w:rsidP="00A85626">
      <w:pPr>
        <w:pStyle w:val="ListParagraph"/>
        <w:numPr>
          <w:ilvl w:val="0"/>
          <w:numId w:val="8"/>
        </w:numPr>
      </w:pPr>
      <w:r w:rsidRPr="007B73DF">
        <w:t>Network Issues</w:t>
      </w:r>
    </w:p>
    <w:p w:rsidR="00A85626" w:rsidRPr="007B73DF" w:rsidRDefault="00A85626" w:rsidP="00A85626">
      <w:pPr>
        <w:pStyle w:val="ListParagraph"/>
        <w:numPr>
          <w:ilvl w:val="0"/>
          <w:numId w:val="8"/>
        </w:numPr>
      </w:pPr>
      <w:r w:rsidRPr="007B73DF">
        <w:t>Customer Equipment &amp; Cabling Issues</w:t>
      </w:r>
    </w:p>
    <w:p w:rsidR="00FC223A" w:rsidRDefault="00A85626" w:rsidP="008C5FE7">
      <w:pPr>
        <w:ind w:left="426"/>
      </w:pPr>
      <w:r w:rsidRPr="007B73DF">
        <w:t xml:space="preserve"> The </w:t>
      </w:r>
      <w:r w:rsidR="00FC223A">
        <w:t>C</w:t>
      </w:r>
      <w:r w:rsidRPr="007B73DF">
        <w:t xml:space="preserve">SRP </w:t>
      </w:r>
      <w:r w:rsidR="00FC223A">
        <w:t>is to be chaired by Patrick Fair</w:t>
      </w:r>
      <w:r w:rsidR="006C1B50">
        <w:t>.</w:t>
      </w:r>
    </w:p>
    <w:p w:rsidR="00891FA1" w:rsidRPr="007B73DF" w:rsidRDefault="00FC223A" w:rsidP="008C5FE7">
      <w:pPr>
        <w:ind w:firstLine="426"/>
      </w:pPr>
      <w:r>
        <w:t>The CSRP will</w:t>
      </w:r>
      <w:r w:rsidR="00A85626" w:rsidRPr="007B73DF">
        <w:t xml:space="preserve"> be supported by a CA Project Manager</w:t>
      </w:r>
      <w:r w:rsidR="006C1B50">
        <w:t>, Visu Thangavelu</w:t>
      </w:r>
      <w:r w:rsidR="00A85626" w:rsidRPr="007B73DF">
        <w:t>.</w:t>
      </w:r>
    </w:p>
    <w:p w:rsidR="00FC223A" w:rsidRPr="007B73DF" w:rsidRDefault="00FC223A" w:rsidP="00FC223A">
      <w:pPr>
        <w:pStyle w:val="ListParagraph"/>
        <w:numPr>
          <w:ilvl w:val="0"/>
          <w:numId w:val="1"/>
        </w:numPr>
        <w:ind w:left="426" w:hanging="426"/>
        <w:rPr>
          <w:sz w:val="22"/>
          <w:szCs w:val="22"/>
        </w:rPr>
      </w:pPr>
      <w:r>
        <w:rPr>
          <w:b/>
          <w:sz w:val="22"/>
          <w:szCs w:val="22"/>
        </w:rPr>
        <w:t>Terms of Reference</w:t>
      </w:r>
      <w:r w:rsidRPr="007B73DF">
        <w:rPr>
          <w:b/>
          <w:sz w:val="22"/>
          <w:szCs w:val="22"/>
        </w:rPr>
        <w:t>:</w:t>
      </w:r>
      <w:r w:rsidRPr="007B73DF">
        <w:rPr>
          <w:sz w:val="22"/>
          <w:szCs w:val="22"/>
        </w:rPr>
        <w:t xml:space="preserve"> </w:t>
      </w:r>
      <w:r w:rsidRPr="007B73DF">
        <w:t>The Panel’s terms of reference, priorities, work plan and will be reviewed on an ongoing basis in order to allow for consideration of stand- alone issues or developments.</w:t>
      </w:r>
    </w:p>
    <w:p w:rsidR="00FC223A" w:rsidRPr="007B73DF" w:rsidRDefault="00FC223A" w:rsidP="00FC223A">
      <w:pPr>
        <w:ind w:firstLine="426"/>
      </w:pPr>
      <w:r w:rsidRPr="007B73DF">
        <w:t xml:space="preserve">The Panel’s </w:t>
      </w:r>
      <w:r w:rsidR="008C5FE7">
        <w:t xml:space="preserve">scope </w:t>
      </w:r>
      <w:r w:rsidRPr="007B73DF">
        <w:t>of activity include</w:t>
      </w:r>
      <w:r w:rsidR="008C5FE7">
        <w:t>s</w:t>
      </w:r>
      <w:r w:rsidRPr="007B73DF">
        <w:t>:</w:t>
      </w:r>
    </w:p>
    <w:p w:rsidR="00FC223A" w:rsidRPr="007B73DF" w:rsidRDefault="00FC223A" w:rsidP="00FC223A">
      <w:pPr>
        <w:pStyle w:val="ListParagraph"/>
        <w:numPr>
          <w:ilvl w:val="0"/>
          <w:numId w:val="7"/>
        </w:numPr>
      </w:pPr>
      <w:r w:rsidRPr="007B73DF">
        <w:t xml:space="preserve">Providing a formal vehicle for industry engagement with government, regulator and agency security and safety stakeholders on matters relating to national, network, online and cyber security. </w:t>
      </w:r>
    </w:p>
    <w:p w:rsidR="00FC223A" w:rsidRPr="007B73DF" w:rsidRDefault="00FC223A" w:rsidP="00FC223A">
      <w:pPr>
        <w:pStyle w:val="ListParagraph"/>
        <w:ind w:left="1146"/>
      </w:pPr>
    </w:p>
    <w:p w:rsidR="00FC223A" w:rsidRPr="007B73DF" w:rsidRDefault="00FC223A" w:rsidP="00FC223A">
      <w:pPr>
        <w:pStyle w:val="ListParagraph"/>
        <w:numPr>
          <w:ilvl w:val="0"/>
          <w:numId w:val="7"/>
        </w:numPr>
      </w:pPr>
      <w:r w:rsidRPr="007B73DF">
        <w:t>Providing representation at government, regulator and enforcement agency security and safety forums with a brief to report back to the Panel (e.g. CSER, Experts Group)</w:t>
      </w:r>
    </w:p>
    <w:p w:rsidR="00FC223A" w:rsidRPr="007B73DF" w:rsidRDefault="00FC223A" w:rsidP="00FC223A">
      <w:pPr>
        <w:pStyle w:val="ListParagraph"/>
      </w:pPr>
    </w:p>
    <w:p w:rsidR="00FC223A" w:rsidRPr="007B73DF" w:rsidRDefault="00FC223A" w:rsidP="00FC223A">
      <w:pPr>
        <w:pStyle w:val="ListParagraph"/>
        <w:numPr>
          <w:ilvl w:val="0"/>
          <w:numId w:val="7"/>
        </w:numPr>
      </w:pPr>
      <w:r w:rsidRPr="007B73DF">
        <w:lastRenderedPageBreak/>
        <w:t>Preparation of industry submissions on matters relating to national, network, online and cyber security.</w:t>
      </w:r>
    </w:p>
    <w:p w:rsidR="00FC223A" w:rsidRPr="007B73DF" w:rsidRDefault="00FC223A" w:rsidP="00FC223A">
      <w:pPr>
        <w:pStyle w:val="ListParagraph"/>
        <w:ind w:left="1146"/>
      </w:pPr>
    </w:p>
    <w:p w:rsidR="00FC223A" w:rsidRPr="007B73DF" w:rsidRDefault="00FC223A" w:rsidP="00FC223A">
      <w:pPr>
        <w:pStyle w:val="ListParagraph"/>
        <w:numPr>
          <w:ilvl w:val="0"/>
          <w:numId w:val="7"/>
        </w:numPr>
      </w:pPr>
      <w:r w:rsidRPr="007B73DF">
        <w:t>Establishment of a formal protocol for government, regulator and enforcement agency stakeholders to notify the Panel of any recent offshore developments which may impact the Australian market (e.g. SMS Banking Fraud, IRSF).</w:t>
      </w:r>
    </w:p>
    <w:p w:rsidR="00FC223A" w:rsidRPr="007B73DF" w:rsidRDefault="00FC223A" w:rsidP="00FC223A">
      <w:pPr>
        <w:pStyle w:val="ListParagraph"/>
        <w:ind w:left="1146"/>
      </w:pPr>
    </w:p>
    <w:p w:rsidR="00FC223A" w:rsidRPr="007B73DF" w:rsidRDefault="00FC223A" w:rsidP="00FC223A">
      <w:pPr>
        <w:pStyle w:val="ListParagraph"/>
        <w:numPr>
          <w:ilvl w:val="0"/>
          <w:numId w:val="7"/>
        </w:numPr>
      </w:pPr>
      <w:r w:rsidRPr="007B73DF">
        <w:t>Formal vehicle for industry engagement with private sector bodies (e.g. banking) stakeholders on matters relating to national, network, online and cyber security.</w:t>
      </w:r>
    </w:p>
    <w:p w:rsidR="00FC223A" w:rsidRPr="007B73DF" w:rsidRDefault="00FC223A" w:rsidP="00FC223A">
      <w:pPr>
        <w:pStyle w:val="ListParagraph"/>
        <w:ind w:left="1146"/>
      </w:pPr>
    </w:p>
    <w:p w:rsidR="00FC223A" w:rsidRPr="007B73DF" w:rsidRDefault="00FC223A" w:rsidP="00FC223A">
      <w:pPr>
        <w:pStyle w:val="ListParagraph"/>
        <w:numPr>
          <w:ilvl w:val="0"/>
          <w:numId w:val="7"/>
        </w:numPr>
      </w:pPr>
      <w:r w:rsidRPr="007B73DF">
        <w:t>Promotion/refocussing of existing initiatives e.g. Family Friendly Filter, Family Friendly ISP, NOSC and development of new security related initiatives with a public benefit focus.</w:t>
      </w:r>
    </w:p>
    <w:p w:rsidR="00FC223A" w:rsidRPr="007B73DF" w:rsidRDefault="00FC223A" w:rsidP="00FC223A">
      <w:pPr>
        <w:pStyle w:val="ListParagraph"/>
        <w:ind w:left="1146"/>
      </w:pPr>
    </w:p>
    <w:p w:rsidR="00FC223A" w:rsidRPr="007B73DF" w:rsidRDefault="00FC223A" w:rsidP="00FC223A">
      <w:pPr>
        <w:pStyle w:val="ListParagraph"/>
        <w:numPr>
          <w:ilvl w:val="0"/>
          <w:numId w:val="7"/>
        </w:numPr>
      </w:pPr>
      <w:r w:rsidRPr="007B73DF">
        <w:t>Improving awareness of cyber securities activities, expertise and resources available across the community.</w:t>
      </w:r>
    </w:p>
    <w:p w:rsidR="00FC223A" w:rsidRPr="007B73DF" w:rsidRDefault="00FC223A" w:rsidP="00FC223A">
      <w:pPr>
        <w:pStyle w:val="ListParagraph"/>
      </w:pPr>
    </w:p>
    <w:p w:rsidR="00FC223A" w:rsidRDefault="00FC223A" w:rsidP="008C5FE7">
      <w:pPr>
        <w:pStyle w:val="ListParagraph"/>
        <w:numPr>
          <w:ilvl w:val="0"/>
          <w:numId w:val="7"/>
        </w:numPr>
      </w:pPr>
      <w:r w:rsidRPr="007B73DF">
        <w:t>Notify and advise member organisations regarding recent security related developments and the resulting opportunities and initiatives to consider and undertake.</w:t>
      </w:r>
    </w:p>
    <w:p w:rsidR="0064496E" w:rsidRPr="007B73DF" w:rsidRDefault="0064496E" w:rsidP="0064496E">
      <w:pPr>
        <w:pStyle w:val="ListParagraph"/>
        <w:ind w:left="426"/>
        <w:rPr>
          <w:b/>
        </w:rPr>
      </w:pPr>
    </w:p>
    <w:p w:rsidR="009601A9" w:rsidRPr="007B73DF" w:rsidRDefault="00746306" w:rsidP="00746306">
      <w:pPr>
        <w:pStyle w:val="ListParagraph"/>
        <w:numPr>
          <w:ilvl w:val="0"/>
          <w:numId w:val="1"/>
        </w:numPr>
        <w:ind w:left="426" w:hanging="426"/>
        <w:rPr>
          <w:b/>
          <w:sz w:val="22"/>
          <w:szCs w:val="22"/>
        </w:rPr>
      </w:pPr>
      <w:r w:rsidRPr="007B73DF">
        <w:rPr>
          <w:b/>
          <w:sz w:val="22"/>
          <w:szCs w:val="22"/>
        </w:rPr>
        <w:t>Constitution</w:t>
      </w:r>
    </w:p>
    <w:p w:rsidR="00746306" w:rsidRPr="007B73DF" w:rsidRDefault="00746306" w:rsidP="00746306">
      <w:pPr>
        <w:pStyle w:val="ListParagraph"/>
        <w:ind w:left="426"/>
      </w:pPr>
    </w:p>
    <w:p w:rsidR="00746306" w:rsidRDefault="00746306" w:rsidP="00746306">
      <w:pPr>
        <w:pStyle w:val="ListParagraph"/>
        <w:ind w:left="426"/>
      </w:pPr>
      <w:r w:rsidRPr="007B73DF">
        <w:t xml:space="preserve">Membership is limited to organisations or individuals who are CA members, but links </w:t>
      </w:r>
      <w:r w:rsidR="002628C2" w:rsidRPr="007B73DF">
        <w:t xml:space="preserve">may be established </w:t>
      </w:r>
      <w:r w:rsidRPr="007B73DF">
        <w:t>with non-member organisations where this might benefit discussions relating to activities within the scope of the Reference Panel.</w:t>
      </w:r>
      <w:r w:rsidR="00A85626" w:rsidRPr="007B73DF">
        <w:t xml:space="preserve"> </w:t>
      </w:r>
      <w:r w:rsidRPr="007B73DF">
        <w:t>The Reference Panel may establish sub-groups to work on specific issues.</w:t>
      </w:r>
      <w:r w:rsidR="002628C2" w:rsidRPr="007B73DF">
        <w:t xml:space="preserve"> Consideration to be given to inviting regulators to sit on the Panel as observers</w:t>
      </w:r>
      <w:r w:rsidR="00C927B1" w:rsidRPr="007B73DF">
        <w:t>,</w:t>
      </w:r>
      <w:r w:rsidR="00A85626" w:rsidRPr="007B73DF">
        <w:t xml:space="preserve"> as already occurs with some other CA Reference Panels or working groups</w:t>
      </w:r>
    </w:p>
    <w:p w:rsidR="008C5FE7" w:rsidRPr="007B73DF" w:rsidRDefault="008C5FE7" w:rsidP="00746306">
      <w:pPr>
        <w:pStyle w:val="ListParagraph"/>
        <w:ind w:left="426"/>
      </w:pPr>
    </w:p>
    <w:p w:rsidR="00746306" w:rsidRPr="008C5FE7" w:rsidRDefault="008C5FE7" w:rsidP="008C5FE7">
      <w:pPr>
        <w:pStyle w:val="ListParagraph"/>
        <w:numPr>
          <w:ilvl w:val="0"/>
          <w:numId w:val="1"/>
        </w:numPr>
        <w:ind w:left="426" w:hanging="426"/>
        <w:rPr>
          <w:b/>
        </w:rPr>
      </w:pPr>
      <w:r w:rsidRPr="008C5FE7">
        <w:rPr>
          <w:b/>
        </w:rPr>
        <w:t>Current Activities</w:t>
      </w:r>
    </w:p>
    <w:p w:rsidR="008C5FE7" w:rsidRDefault="008C5FE7" w:rsidP="008C5FE7">
      <w:pPr>
        <w:autoSpaceDE w:val="0"/>
        <w:autoSpaceDN w:val="0"/>
        <w:spacing w:line="288" w:lineRule="auto"/>
        <w:ind w:firstLine="426"/>
        <w:textAlignment w:val="center"/>
        <w:rPr>
          <w:rFonts w:cs="Century Gothic"/>
        </w:rPr>
      </w:pPr>
      <w:r>
        <w:rPr>
          <w:rFonts w:cs="Century Gothic"/>
        </w:rPr>
        <w:t>Current activities that the CSRP will assume oversight responsibility for include:</w:t>
      </w:r>
    </w:p>
    <w:p w:rsidR="008C5FE7" w:rsidRPr="0057663F" w:rsidRDefault="008C5FE7" w:rsidP="008C5FE7">
      <w:pPr>
        <w:pStyle w:val="ListParagraph"/>
        <w:numPr>
          <w:ilvl w:val="0"/>
          <w:numId w:val="10"/>
        </w:numPr>
        <w:rPr>
          <w:rFonts w:cs="Century Gothic"/>
        </w:rPr>
      </w:pPr>
      <w:r>
        <w:rPr>
          <w:rFonts w:cs="Century Gothic"/>
        </w:rPr>
        <w:t>engagement with Government on national Telecommunications Security Sector Reforms;</w:t>
      </w:r>
    </w:p>
    <w:p w:rsidR="008C5FE7" w:rsidRDefault="008C5FE7" w:rsidP="008C5FE7">
      <w:pPr>
        <w:pStyle w:val="ListParagraph"/>
        <w:ind w:left="1146"/>
        <w:rPr>
          <w:rFonts w:cs="Century Gothic"/>
        </w:rPr>
      </w:pPr>
    </w:p>
    <w:p w:rsidR="008C5FE7" w:rsidRPr="008C5FE7" w:rsidRDefault="008C5FE7" w:rsidP="008C5FE7">
      <w:pPr>
        <w:pStyle w:val="ListParagraph"/>
        <w:numPr>
          <w:ilvl w:val="0"/>
          <w:numId w:val="10"/>
        </w:numPr>
        <w:rPr>
          <w:rFonts w:cs="Century Gothic"/>
        </w:rPr>
      </w:pPr>
      <w:r>
        <w:rPr>
          <w:rFonts w:cs="Century Gothic"/>
        </w:rPr>
        <w:t>Telecommunications Fraud Prevention, including the Australia –New Zealand joint initiative to combat International Revenue Share Fraud;</w:t>
      </w:r>
    </w:p>
    <w:p w:rsidR="008C5FE7" w:rsidRPr="008C5FE7" w:rsidRDefault="008C5FE7" w:rsidP="008C5FE7">
      <w:pPr>
        <w:pStyle w:val="ListParagraph"/>
        <w:ind w:left="1146"/>
        <w:rPr>
          <w:rFonts w:cs="Century Gothic"/>
        </w:rPr>
      </w:pPr>
    </w:p>
    <w:p w:rsidR="008C5FE7" w:rsidRPr="008C5FE7" w:rsidRDefault="008C5FE7" w:rsidP="008C5FE7">
      <w:pPr>
        <w:pStyle w:val="ListParagraph"/>
        <w:numPr>
          <w:ilvl w:val="0"/>
          <w:numId w:val="10"/>
        </w:numPr>
        <w:rPr>
          <w:rFonts w:cs="Century Gothic"/>
        </w:rPr>
      </w:pPr>
      <w:r>
        <w:rPr>
          <w:rFonts w:cs="Century Gothic"/>
        </w:rPr>
        <w:t>engagement with Government on Cyber Security and Cyber Safety; and</w:t>
      </w:r>
    </w:p>
    <w:p w:rsidR="008C5FE7" w:rsidRDefault="008C5FE7" w:rsidP="008C5FE7">
      <w:pPr>
        <w:pStyle w:val="ListParagraph"/>
        <w:ind w:left="1146"/>
        <w:rPr>
          <w:rFonts w:cs="Century Gothic"/>
        </w:rPr>
      </w:pPr>
    </w:p>
    <w:p w:rsidR="008C5FE7" w:rsidRDefault="008C5FE7" w:rsidP="008C5FE7">
      <w:pPr>
        <w:pStyle w:val="ListParagraph"/>
        <w:numPr>
          <w:ilvl w:val="0"/>
          <w:numId w:val="10"/>
        </w:numPr>
        <w:rPr>
          <w:rFonts w:cs="Century Gothic"/>
        </w:rPr>
      </w:pPr>
      <w:proofErr w:type="gramStart"/>
      <w:r>
        <w:rPr>
          <w:rFonts w:cs="Century Gothic"/>
        </w:rPr>
        <w:t>relaunching</w:t>
      </w:r>
      <w:proofErr w:type="gramEnd"/>
      <w:r>
        <w:rPr>
          <w:rFonts w:cs="Century Gothic"/>
        </w:rPr>
        <w:t xml:space="preserve"> of  the Internet Industry Association’s ( IIA) National Online Security Council, including the Family Friendly Filter/Family Friendly ISP initiatives.</w:t>
      </w:r>
    </w:p>
    <w:p w:rsidR="009601A9" w:rsidRDefault="009601A9" w:rsidP="008C5FE7">
      <w:pPr>
        <w:ind w:left="426"/>
      </w:pPr>
    </w:p>
    <w:sectPr w:rsidR="009601A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AA5" w:rsidRDefault="00126AA5" w:rsidP="00126AA5">
      <w:pPr>
        <w:spacing w:after="0" w:line="240" w:lineRule="auto"/>
      </w:pPr>
      <w:r>
        <w:separator/>
      </w:r>
    </w:p>
  </w:endnote>
  <w:endnote w:type="continuationSeparator" w:id="0">
    <w:p w:rsidR="00126AA5" w:rsidRDefault="00126AA5" w:rsidP="00126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AA5" w:rsidRDefault="00126AA5">
    <w:pPr>
      <w:pStyle w:val="Footer"/>
    </w:pPr>
    <w:r>
      <w:t>Comms Alliance</w:t>
    </w:r>
  </w:p>
  <w:p w:rsidR="00126AA5" w:rsidRDefault="008C5FE7">
    <w:pPr>
      <w:pStyle w:val="Footer"/>
    </w:pPr>
    <w:r>
      <w:t xml:space="preserve">CSRP </w:t>
    </w:r>
    <w:proofErr w:type="spellStart"/>
    <w:r>
      <w:t>ToR</w:t>
    </w:r>
    <w:proofErr w:type="spellEnd"/>
  </w:p>
  <w:p w:rsidR="008C5FE7" w:rsidRDefault="008C5FE7">
    <w:pPr>
      <w:pStyle w:val="Footer"/>
    </w:pPr>
    <w:r>
      <w:t>V1 140625</w:t>
    </w:r>
  </w:p>
  <w:p w:rsidR="00126AA5" w:rsidRDefault="00126A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AA5" w:rsidRDefault="00126AA5" w:rsidP="00126AA5">
      <w:pPr>
        <w:spacing w:after="0" w:line="240" w:lineRule="auto"/>
      </w:pPr>
      <w:r>
        <w:separator/>
      </w:r>
    </w:p>
  </w:footnote>
  <w:footnote w:type="continuationSeparator" w:id="0">
    <w:p w:rsidR="00126AA5" w:rsidRDefault="00126AA5" w:rsidP="00126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6448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126AA5" w:rsidRDefault="00126AA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0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6AA5" w:rsidRDefault="00126A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7670"/>
    <w:multiLevelType w:val="hybridMultilevel"/>
    <w:tmpl w:val="8938BCE8"/>
    <w:lvl w:ilvl="0" w:tplc="A9E65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87BE2"/>
    <w:multiLevelType w:val="hybridMultilevel"/>
    <w:tmpl w:val="850C8BB4"/>
    <w:lvl w:ilvl="0" w:tplc="BA40B258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2090697"/>
    <w:multiLevelType w:val="hybridMultilevel"/>
    <w:tmpl w:val="00C4CC26"/>
    <w:lvl w:ilvl="0" w:tplc="A5927312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Century Gothic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AA7EB1"/>
    <w:multiLevelType w:val="multilevel"/>
    <w:tmpl w:val="6686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402927"/>
    <w:multiLevelType w:val="hybridMultilevel"/>
    <w:tmpl w:val="BB48322A"/>
    <w:lvl w:ilvl="0" w:tplc="611491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D1BD3"/>
    <w:multiLevelType w:val="hybridMultilevel"/>
    <w:tmpl w:val="850C8BB4"/>
    <w:lvl w:ilvl="0" w:tplc="BA40B258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3FD03D3"/>
    <w:multiLevelType w:val="hybridMultilevel"/>
    <w:tmpl w:val="51B4FEDE"/>
    <w:lvl w:ilvl="0" w:tplc="AAAC130E">
      <w:numFmt w:val="bullet"/>
      <w:lvlText w:val="-"/>
      <w:lvlJc w:val="left"/>
      <w:pPr>
        <w:ind w:left="786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0056AA5"/>
    <w:multiLevelType w:val="hybridMultilevel"/>
    <w:tmpl w:val="850C8BB4"/>
    <w:lvl w:ilvl="0" w:tplc="BA40B258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4B70F99"/>
    <w:multiLevelType w:val="hybridMultilevel"/>
    <w:tmpl w:val="F258A0A4"/>
    <w:lvl w:ilvl="0" w:tplc="D7124E58">
      <w:numFmt w:val="bullet"/>
      <w:lvlText w:val="-"/>
      <w:lvlJc w:val="left"/>
      <w:pPr>
        <w:ind w:left="1440" w:hanging="360"/>
      </w:pPr>
      <w:rPr>
        <w:rFonts w:ascii="Century Gothic" w:eastAsia="Calibri" w:hAnsi="Century Goth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F1E23F4"/>
    <w:multiLevelType w:val="hybridMultilevel"/>
    <w:tmpl w:val="71A8CED6"/>
    <w:lvl w:ilvl="0" w:tplc="5298ECF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A1"/>
    <w:rsid w:val="00126AA5"/>
    <w:rsid w:val="001925DC"/>
    <w:rsid w:val="002066C5"/>
    <w:rsid w:val="002610C6"/>
    <w:rsid w:val="002628C2"/>
    <w:rsid w:val="002750F4"/>
    <w:rsid w:val="00315202"/>
    <w:rsid w:val="0064496E"/>
    <w:rsid w:val="006C1B50"/>
    <w:rsid w:val="00746306"/>
    <w:rsid w:val="007B73DF"/>
    <w:rsid w:val="007C4A8A"/>
    <w:rsid w:val="00837DB7"/>
    <w:rsid w:val="00891FA1"/>
    <w:rsid w:val="008C5FE7"/>
    <w:rsid w:val="00926DFA"/>
    <w:rsid w:val="00935588"/>
    <w:rsid w:val="009601A9"/>
    <w:rsid w:val="00A7750F"/>
    <w:rsid w:val="00A85626"/>
    <w:rsid w:val="00AF5B9C"/>
    <w:rsid w:val="00B85DFB"/>
    <w:rsid w:val="00C479B0"/>
    <w:rsid w:val="00C927B1"/>
    <w:rsid w:val="00CF28FA"/>
    <w:rsid w:val="00D20C1D"/>
    <w:rsid w:val="00D4103D"/>
    <w:rsid w:val="00D45D71"/>
    <w:rsid w:val="00EC6B1F"/>
    <w:rsid w:val="00FC223A"/>
    <w:rsid w:val="00FE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FA1"/>
    <w:pPr>
      <w:ind w:left="720"/>
      <w:contextualSpacing/>
    </w:pPr>
  </w:style>
  <w:style w:type="table" w:styleId="TableGrid">
    <w:name w:val="Table Grid"/>
    <w:basedOn w:val="TableNormal"/>
    <w:uiPriority w:val="59"/>
    <w:rsid w:val="00891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46306"/>
    <w:pPr>
      <w:spacing w:after="0" w:line="240" w:lineRule="auto"/>
    </w:pPr>
    <w:rPr>
      <w:rFonts w:ascii="Arial" w:eastAsia="Times New Roman" w:hAnsi="Arial" w:cs="Times New Roman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46306"/>
    <w:rPr>
      <w:rFonts w:ascii="Arial" w:eastAsia="Times New Roman" w:hAnsi="Arial" w:cs="Times New Roman"/>
      <w:sz w:val="24"/>
      <w:lang w:val="en-US"/>
    </w:rPr>
  </w:style>
  <w:style w:type="paragraph" w:customStyle="1" w:styleId="Body1">
    <w:name w:val="Body 1"/>
    <w:basedOn w:val="Normal"/>
    <w:rsid w:val="00C479B0"/>
    <w:pPr>
      <w:autoSpaceDE w:val="0"/>
      <w:autoSpaceDN w:val="0"/>
      <w:spacing w:before="180" w:after="60" w:line="24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26A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AA5"/>
  </w:style>
  <w:style w:type="paragraph" w:styleId="Footer">
    <w:name w:val="footer"/>
    <w:basedOn w:val="Normal"/>
    <w:link w:val="FooterChar"/>
    <w:uiPriority w:val="99"/>
    <w:unhideWhenUsed/>
    <w:rsid w:val="00126A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AA5"/>
  </w:style>
  <w:style w:type="paragraph" w:styleId="BalloonText">
    <w:name w:val="Balloon Text"/>
    <w:basedOn w:val="Normal"/>
    <w:link w:val="BalloonTextChar"/>
    <w:uiPriority w:val="99"/>
    <w:semiHidden/>
    <w:unhideWhenUsed/>
    <w:rsid w:val="0012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FA1"/>
    <w:pPr>
      <w:ind w:left="720"/>
      <w:contextualSpacing/>
    </w:pPr>
  </w:style>
  <w:style w:type="table" w:styleId="TableGrid">
    <w:name w:val="Table Grid"/>
    <w:basedOn w:val="TableNormal"/>
    <w:uiPriority w:val="59"/>
    <w:rsid w:val="00891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46306"/>
    <w:pPr>
      <w:spacing w:after="0" w:line="240" w:lineRule="auto"/>
    </w:pPr>
    <w:rPr>
      <w:rFonts w:ascii="Arial" w:eastAsia="Times New Roman" w:hAnsi="Arial" w:cs="Times New Roman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46306"/>
    <w:rPr>
      <w:rFonts w:ascii="Arial" w:eastAsia="Times New Roman" w:hAnsi="Arial" w:cs="Times New Roman"/>
      <w:sz w:val="24"/>
      <w:lang w:val="en-US"/>
    </w:rPr>
  </w:style>
  <w:style w:type="paragraph" w:customStyle="1" w:styleId="Body1">
    <w:name w:val="Body 1"/>
    <w:basedOn w:val="Normal"/>
    <w:rsid w:val="00C479B0"/>
    <w:pPr>
      <w:autoSpaceDE w:val="0"/>
      <w:autoSpaceDN w:val="0"/>
      <w:spacing w:before="180" w:after="60" w:line="24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26A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AA5"/>
  </w:style>
  <w:style w:type="paragraph" w:styleId="Footer">
    <w:name w:val="footer"/>
    <w:basedOn w:val="Normal"/>
    <w:link w:val="FooterChar"/>
    <w:uiPriority w:val="99"/>
    <w:unhideWhenUsed/>
    <w:rsid w:val="00126A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AA5"/>
  </w:style>
  <w:style w:type="paragraph" w:styleId="BalloonText">
    <w:name w:val="Balloon Text"/>
    <w:basedOn w:val="Normal"/>
    <w:link w:val="BalloonTextChar"/>
    <w:uiPriority w:val="99"/>
    <w:semiHidden/>
    <w:unhideWhenUsed/>
    <w:rsid w:val="0012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Visu Thangavelu</dc:creator>
  <cp:lastModifiedBy>Visu Thangavelu</cp:lastModifiedBy>
  <cp:revision>5</cp:revision>
  <cp:lastPrinted>2014-04-30T07:23:00Z</cp:lastPrinted>
  <dcterms:created xsi:type="dcterms:W3CDTF">2014-06-26T01:57:00Z</dcterms:created>
  <dcterms:modified xsi:type="dcterms:W3CDTF">2014-07-16T23:37:00Z</dcterms:modified>
</cp:coreProperties>
</file>